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2AEE193C" w:rsidR="004E302B" w:rsidRPr="004E302B" w:rsidRDefault="00F868ED" w:rsidP="008978BA">
      <w:pPr>
        <w:pStyle w:val="Header"/>
        <w:tabs>
          <w:tab w:val="right" w:pos="10466"/>
        </w:tabs>
        <w:rPr>
          <w:rFonts w:asciiTheme="minorHAnsi" w:hAnsiTheme="minorHAnsi" w:cstheme="minorHAnsi"/>
          <w:bCs/>
          <w:sz w:val="24"/>
          <w:szCs w:val="24"/>
          <w:lang w:eastAsia="ja-JP"/>
        </w:rPr>
      </w:pPr>
      <w:bookmarkStart w:id="0" w:name="_GoBack"/>
      <w:bookmarkEnd w:id="0"/>
      <w:r>
        <w:rPr>
          <w:rFonts w:asciiTheme="minorHAnsi" w:hAnsiTheme="minorHAnsi" w:cstheme="minorHAnsi"/>
          <w:bCs/>
          <w:sz w:val="24"/>
          <w:szCs w:val="24"/>
          <w:lang w:eastAsia="ja-JP"/>
        </w:rPr>
        <w:t>3GPP TSG-RAN WG2 Meeting #113</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1D0B12" w:rsidRPr="001D0B12">
        <w:rPr>
          <w:rFonts w:asciiTheme="minorHAnsi" w:hAnsiTheme="minorHAnsi" w:cstheme="minorHAnsi"/>
          <w:bCs/>
          <w:sz w:val="24"/>
          <w:szCs w:val="24"/>
          <w:lang w:eastAsia="ja-JP"/>
        </w:rPr>
        <w:t>R2-2101322</w:t>
      </w:r>
    </w:p>
    <w:p w14:paraId="4CA31B4B" w14:textId="496C7392"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F868ED" w:rsidRPr="00F868ED">
        <w:rPr>
          <w:rFonts w:asciiTheme="minorHAnsi" w:hAnsiTheme="minorHAnsi" w:cstheme="minorHAnsi"/>
          <w:bCs/>
          <w:sz w:val="24"/>
          <w:szCs w:val="24"/>
          <w:lang w:eastAsia="ja-JP"/>
        </w:rPr>
        <w:t>Jan 25 – Feb 5, 2021</w:t>
      </w:r>
      <w:r w:rsidR="00633DE1" w:rsidRPr="004E302B">
        <w:rPr>
          <w:rFonts w:asciiTheme="minorHAnsi" w:hAnsiTheme="minorHAnsi" w:cstheme="minorHAnsi"/>
          <w:bCs/>
          <w:sz w:val="24"/>
          <w:szCs w:val="24"/>
          <w:lang w:eastAsia="ja-JP"/>
        </w:rPr>
        <w:tab/>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69DD0037"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8A43BF">
        <w:rPr>
          <w:rFonts w:asciiTheme="minorHAnsi" w:hAnsiTheme="minorHAnsi" w:cstheme="minorHAnsi"/>
          <w:b/>
          <w:noProof/>
          <w:sz w:val="24"/>
        </w:rPr>
        <w:t>8.5.2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0AEACB73"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8A43BF" w:rsidRPr="008A43BF">
        <w:rPr>
          <w:rFonts w:asciiTheme="minorHAnsi" w:hAnsiTheme="minorHAnsi" w:cstheme="minorHAnsi"/>
          <w:b/>
          <w:noProof/>
          <w:color w:val="000000" w:themeColor="text1"/>
          <w:sz w:val="24"/>
        </w:rPr>
        <w:t>On propagation delay compensation</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3DFEF7C" w14:textId="1D7C58CF" w:rsidR="003439B8" w:rsidRPr="003439B8" w:rsidRDefault="008A43BF" w:rsidP="003439B8">
      <w:pPr>
        <w:textAlignment w:val="auto"/>
        <w:rPr>
          <w:rFonts w:ascii="Calibri" w:hAnsi="Calibri" w:cs="Calibri"/>
        </w:rPr>
      </w:pPr>
      <w:r>
        <w:rPr>
          <w:rFonts w:ascii="Calibri" w:hAnsi="Calibri" w:cs="Calibri"/>
        </w:rPr>
        <w:t>The W</w:t>
      </w:r>
      <w:r w:rsidR="003439B8" w:rsidRPr="003439B8">
        <w:rPr>
          <w:rFonts w:ascii="Calibri" w:hAnsi="Calibri" w:cs="Calibri"/>
        </w:rPr>
        <w:t xml:space="preserve">ID on </w:t>
      </w:r>
      <w:r w:rsidRPr="008A43BF">
        <w:rPr>
          <w:rFonts w:ascii="Calibri" w:hAnsi="Calibri" w:cs="Calibri"/>
        </w:rPr>
        <w:t xml:space="preserve">Enhanced Industrial Internet of Things </w:t>
      </w:r>
      <w:r w:rsidR="003439B8" w:rsidRPr="003439B8">
        <w:rPr>
          <w:rFonts w:ascii="Calibri" w:hAnsi="Calibri" w:cs="Calibri"/>
        </w:rPr>
        <w:t>(</w:t>
      </w:r>
      <w:r>
        <w:rPr>
          <w:rFonts w:ascii="Calibri" w:hAnsi="Calibri" w:cs="Calibri"/>
        </w:rPr>
        <w:t>eIIoT</w:t>
      </w:r>
      <w:r w:rsidR="003439B8" w:rsidRPr="003439B8">
        <w:rPr>
          <w:rFonts w:ascii="Calibri" w:hAnsi="Calibri" w:cs="Calibri"/>
        </w:rPr>
        <w:t xml:space="preserve">) </w:t>
      </w:r>
      <w:r>
        <w:rPr>
          <w:rFonts w:ascii="Calibri" w:hAnsi="Calibri" w:cs="Calibri"/>
        </w:rPr>
        <w:t xml:space="preserve">communication </w:t>
      </w:r>
      <w:r w:rsidR="003439B8">
        <w:rPr>
          <w:rFonts w:ascii="Calibri" w:hAnsi="Calibri" w:cs="Calibri"/>
        </w:rPr>
        <w:fldChar w:fldCharType="begin"/>
      </w:r>
      <w:r w:rsidR="003439B8">
        <w:rPr>
          <w:rFonts w:ascii="Calibri" w:hAnsi="Calibri" w:cs="Calibri"/>
        </w:rPr>
        <w:instrText xml:space="preserve"> REF _Ref46858437 \r \h </w:instrText>
      </w:r>
      <w:r w:rsidR="003439B8">
        <w:rPr>
          <w:rFonts w:ascii="Calibri" w:hAnsi="Calibri" w:cs="Calibri"/>
        </w:rPr>
      </w:r>
      <w:r w:rsidR="003439B8">
        <w:rPr>
          <w:rFonts w:ascii="Calibri" w:hAnsi="Calibri" w:cs="Calibri"/>
        </w:rPr>
        <w:fldChar w:fldCharType="separate"/>
      </w:r>
      <w:r w:rsidR="003439B8">
        <w:rPr>
          <w:rFonts w:ascii="Calibri" w:hAnsi="Calibri" w:cs="Calibri"/>
        </w:rPr>
        <w:t>[1]</w:t>
      </w:r>
      <w:r w:rsidR="003439B8">
        <w:rPr>
          <w:rFonts w:ascii="Calibri" w:hAnsi="Calibri" w:cs="Calibri"/>
        </w:rPr>
        <w:fldChar w:fldCharType="end"/>
      </w:r>
      <w:r w:rsidR="003439B8">
        <w:rPr>
          <w:rFonts w:ascii="Calibri" w:hAnsi="Calibri" w:cs="Calibri"/>
        </w:rPr>
        <w:t xml:space="preserve"> </w:t>
      </w:r>
      <w:r w:rsidR="003439B8" w:rsidRPr="003439B8">
        <w:rPr>
          <w:rFonts w:ascii="Calibri" w:hAnsi="Calibri" w:cs="Calibri"/>
        </w:rPr>
        <w:t>includes the following objective</w:t>
      </w:r>
      <w:r>
        <w:rPr>
          <w:rFonts w:ascii="Calibri" w:hAnsi="Calibri" w:cs="Calibri"/>
        </w:rPr>
        <w:t xml:space="preserve"> on the support of time synchronisation</w:t>
      </w:r>
      <w:r w:rsidR="003439B8" w:rsidRPr="003439B8">
        <w:rPr>
          <w:rFonts w:ascii="Calibri" w:hAnsi="Calibri" w:cs="Calibri"/>
        </w:rPr>
        <w:t>:</w:t>
      </w:r>
    </w:p>
    <w:p w14:paraId="490B81C3" w14:textId="77777777" w:rsidR="008A43BF" w:rsidRDefault="008A43BF" w:rsidP="008A43BF">
      <w:pPr>
        <w:spacing w:after="0"/>
        <w:ind w:left="720"/>
        <w:textAlignment w:val="auto"/>
        <w:rPr>
          <w:rFonts w:ascii="Calibri" w:hAnsi="Calibri" w:cs="Calibri"/>
          <w:i/>
        </w:rPr>
      </w:pPr>
      <w:r w:rsidRPr="008A43BF">
        <w:rPr>
          <w:rFonts w:ascii="Calibri" w:hAnsi="Calibri" w:cs="Calibri"/>
          <w:i/>
        </w:rPr>
        <w:t>Enhancements for support of time synchronization:</w:t>
      </w:r>
    </w:p>
    <w:p w14:paraId="5C1F6A6D" w14:textId="77777777" w:rsidR="008A43BF" w:rsidRDefault="008A43BF" w:rsidP="008A43BF">
      <w:pPr>
        <w:spacing w:after="0"/>
        <w:ind w:left="720" w:firstLine="720"/>
        <w:textAlignment w:val="auto"/>
        <w:rPr>
          <w:rFonts w:ascii="Calibri" w:hAnsi="Calibri" w:cs="Calibri"/>
          <w:i/>
        </w:rPr>
      </w:pPr>
      <w:r w:rsidRPr="008A43BF">
        <w:rPr>
          <w:rFonts w:ascii="Calibri" w:hAnsi="Calibri" w:cs="Calibri"/>
          <w:i/>
        </w:rPr>
        <w:t>RAN impacts of SA2 work on uplink time synchronization for TSN, if any. [RAN2]</w:t>
      </w:r>
    </w:p>
    <w:p w14:paraId="3A035901" w14:textId="3C42B555" w:rsidR="008A43BF" w:rsidRDefault="008A43BF" w:rsidP="008A43BF">
      <w:pPr>
        <w:ind w:left="720" w:firstLine="720"/>
        <w:textAlignment w:val="auto"/>
        <w:rPr>
          <w:rFonts w:ascii="Calibri" w:hAnsi="Calibri" w:cs="Calibri"/>
          <w:i/>
        </w:rPr>
      </w:pPr>
      <w:r w:rsidRPr="008A43BF">
        <w:rPr>
          <w:rFonts w:ascii="Calibri" w:hAnsi="Calibri" w:cs="Calibri"/>
          <w:i/>
        </w:rPr>
        <w:t>Propagation delay compensation enhancements (including mobility issues, if any). [RAN2, RAN1, RAN3, RAN4]</w:t>
      </w:r>
    </w:p>
    <w:p w14:paraId="0F3932E2" w14:textId="0FF5BCA2" w:rsidR="003439B8" w:rsidRDefault="00F868ED" w:rsidP="008A43BF">
      <w:pPr>
        <w:textAlignment w:val="auto"/>
        <w:rPr>
          <w:rFonts w:ascii="Calibri" w:hAnsi="Calibri" w:cs="Calibri"/>
        </w:rPr>
      </w:pPr>
      <w:r>
        <w:rPr>
          <w:rFonts w:ascii="Calibri" w:hAnsi="Calibri" w:cs="Calibri"/>
        </w:rPr>
        <w:t xml:space="preserve">At RAN2#112-e, we reached the following agreements on propagation delay compensation (PDC) </w:t>
      </w:r>
      <w:r>
        <w:rPr>
          <w:rFonts w:ascii="Calibri" w:hAnsi="Calibri" w:cs="Calibri"/>
        </w:rPr>
        <w:fldChar w:fldCharType="begin"/>
      </w:r>
      <w:r>
        <w:rPr>
          <w:rFonts w:ascii="Calibri" w:hAnsi="Calibri" w:cs="Calibri"/>
        </w:rPr>
        <w:instrText xml:space="preserve"> REF _Ref61524476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r>
        <w:rPr>
          <w:rFonts w:ascii="Calibri" w:hAnsi="Calibri" w:cs="Calibri"/>
        </w:rPr>
        <w:t>:</w:t>
      </w:r>
    </w:p>
    <w:p w14:paraId="677804FD" w14:textId="77777777" w:rsidR="00F868ED" w:rsidRPr="00F868ED" w:rsidRDefault="00F868ED" w:rsidP="00F868ED">
      <w:pPr>
        <w:pBdr>
          <w:top w:val="single" w:sz="4" w:space="1" w:color="auto"/>
          <w:left w:val="single" w:sz="4" w:space="4" w:color="auto"/>
          <w:bottom w:val="single" w:sz="4" w:space="1" w:color="auto"/>
          <w:right w:val="single" w:sz="4" w:space="4" w:color="auto"/>
        </w:pBdr>
        <w:spacing w:after="0"/>
        <w:ind w:left="720"/>
        <w:textAlignment w:val="auto"/>
        <w:rPr>
          <w:rFonts w:ascii="Calibri" w:hAnsi="Calibri" w:cs="Calibri"/>
          <w:i/>
        </w:rPr>
      </w:pPr>
      <w:r w:rsidRPr="00F868ED">
        <w:rPr>
          <w:rFonts w:ascii="Calibri" w:hAnsi="Calibri" w:cs="Calibri"/>
          <w:i/>
        </w:rPr>
        <w:t>RAN2 should consider the following three scenarios, with a focus on Scenario 2 and 3:</w:t>
      </w:r>
    </w:p>
    <w:p w14:paraId="02643DE6" w14:textId="2D7919F6" w:rsidR="00F868ED" w:rsidRPr="00F868ED" w:rsidRDefault="00F868ED" w:rsidP="00F868ED">
      <w:pPr>
        <w:pBdr>
          <w:top w:val="single" w:sz="4" w:space="1" w:color="auto"/>
          <w:left w:val="single" w:sz="4" w:space="4" w:color="auto"/>
          <w:bottom w:val="single" w:sz="4" w:space="1" w:color="auto"/>
          <w:right w:val="single" w:sz="4" w:space="4" w:color="auto"/>
        </w:pBdr>
        <w:spacing w:after="0"/>
        <w:ind w:left="720"/>
        <w:textAlignment w:val="auto"/>
        <w:rPr>
          <w:rFonts w:ascii="Calibri" w:hAnsi="Calibri" w:cs="Calibri"/>
          <w:i/>
        </w:rPr>
      </w:pPr>
      <w:r w:rsidRPr="00F868ED">
        <w:rPr>
          <w:rFonts w:ascii="Calibri" w:hAnsi="Calibri" w:cs="Calibri"/>
          <w:i/>
        </w:rPr>
        <w:t>• Scenario 1: In the control-to-control communication use case, where TSC devices behind a target UE are synchronized to any TD, from a GM behind the CN. The 5GS introduced error is caused by the relative time-stamping inaccuracy at the NW-TT and the DS-TTs.</w:t>
      </w:r>
    </w:p>
    <w:p w14:paraId="5AA747D1" w14:textId="1FC69FB4" w:rsidR="00F868ED" w:rsidRPr="00F868ED" w:rsidRDefault="00F868ED" w:rsidP="00F868ED">
      <w:pPr>
        <w:pBdr>
          <w:top w:val="single" w:sz="4" w:space="1" w:color="auto"/>
          <w:left w:val="single" w:sz="4" w:space="4" w:color="auto"/>
          <w:bottom w:val="single" w:sz="4" w:space="1" w:color="auto"/>
          <w:right w:val="single" w:sz="4" w:space="4" w:color="auto"/>
        </w:pBdr>
        <w:spacing w:after="0"/>
        <w:ind w:left="720"/>
        <w:textAlignment w:val="auto"/>
        <w:rPr>
          <w:rFonts w:ascii="Calibri" w:hAnsi="Calibri" w:cs="Calibri"/>
          <w:i/>
        </w:rPr>
      </w:pPr>
      <w:r w:rsidRPr="00F868ED">
        <w:rPr>
          <w:rFonts w:ascii="Calibri" w:hAnsi="Calibri" w:cs="Calibri"/>
          <w:i/>
        </w:rPr>
        <w:t>• Scenario 2: In the control-to-control communication use case, where TSC devices behind a target UE are synchronized to any TD, from a GM behind the UE. The 5GS introduced error is caused by the relative time-stamping inaccuracies at the involved DS-TTs.</w:t>
      </w:r>
    </w:p>
    <w:p w14:paraId="5E7AFDA9" w14:textId="1718BF6C" w:rsidR="00F868ED" w:rsidRPr="00F868ED" w:rsidRDefault="00F868ED" w:rsidP="00F868ED">
      <w:pPr>
        <w:pBdr>
          <w:top w:val="single" w:sz="4" w:space="1" w:color="auto"/>
          <w:left w:val="single" w:sz="4" w:space="4" w:color="auto"/>
          <w:bottom w:val="single" w:sz="4" w:space="1" w:color="auto"/>
          <w:right w:val="single" w:sz="4" w:space="4" w:color="auto"/>
        </w:pBdr>
        <w:ind w:left="720"/>
        <w:textAlignment w:val="auto"/>
        <w:rPr>
          <w:rFonts w:ascii="Calibri" w:hAnsi="Calibri" w:cs="Calibri"/>
          <w:i/>
        </w:rPr>
      </w:pPr>
      <w:r w:rsidRPr="00F868ED">
        <w:rPr>
          <w:rFonts w:ascii="Calibri" w:hAnsi="Calibri" w:cs="Calibri"/>
          <w:i/>
        </w:rPr>
        <w:t xml:space="preserve">• Scenario 3: In the smart grid use case, where the TSC devices behind a target UE are synchronized to the 5G GM TD. The 5GS introduced error is caused by the synchronization of the 5G clock to the DS-TT. </w:t>
      </w:r>
    </w:p>
    <w:p w14:paraId="2E5D367A" w14:textId="2F6219FB" w:rsidR="00F868ED" w:rsidRDefault="00F868ED" w:rsidP="00F868ED">
      <w:pPr>
        <w:pBdr>
          <w:top w:val="single" w:sz="4" w:space="1" w:color="auto"/>
          <w:left w:val="single" w:sz="4" w:space="4" w:color="auto"/>
          <w:bottom w:val="single" w:sz="4" w:space="1" w:color="auto"/>
          <w:right w:val="single" w:sz="4" w:space="4" w:color="auto"/>
        </w:pBdr>
        <w:ind w:left="720"/>
        <w:textAlignment w:val="auto"/>
        <w:rPr>
          <w:rFonts w:ascii="Calibri" w:hAnsi="Calibri" w:cs="Calibri"/>
          <w:i/>
        </w:rPr>
      </w:pPr>
      <w:r w:rsidRPr="00773C40">
        <w:rPr>
          <w:rFonts w:ascii="Calibri" w:hAnsi="Calibri" w:cs="Calibri"/>
          <w:i/>
          <w:highlight w:val="yellow"/>
        </w:rPr>
        <w:t>It is up to RAN1 to decide which PDC options should be supported for Scenario 1, 2 and 3 in Release-17</w:t>
      </w:r>
      <w:r w:rsidRPr="00F868ED">
        <w:rPr>
          <w:rFonts w:ascii="Calibri" w:hAnsi="Calibri" w:cs="Calibri"/>
          <w:i/>
        </w:rPr>
        <w:t xml:space="preserve">.   </w:t>
      </w:r>
    </w:p>
    <w:p w14:paraId="455C31E8" w14:textId="0C014988" w:rsidR="00F868ED" w:rsidRPr="003439B8" w:rsidRDefault="00F868ED" w:rsidP="00F868ED">
      <w:pPr>
        <w:textAlignment w:val="auto"/>
        <w:rPr>
          <w:rFonts w:ascii="Calibri" w:hAnsi="Calibri" w:cs="Calibri"/>
        </w:rPr>
      </w:pPr>
      <w:r>
        <w:rPr>
          <w:rFonts w:ascii="Calibri" w:hAnsi="Calibri" w:cs="Calibri"/>
        </w:rPr>
        <w:t>In this paper, we focus on the remaining issues on PDC that can be progressed at this point in time.</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6DD99FBD" w14:textId="1F128EF1" w:rsidR="00F868ED" w:rsidRDefault="00F868ED" w:rsidP="00E71B99">
      <w:pPr>
        <w:rPr>
          <w:rFonts w:asciiTheme="minorHAnsi" w:hAnsiTheme="minorHAnsi" w:cstheme="minorHAnsi"/>
        </w:rPr>
      </w:pPr>
      <w:r>
        <w:rPr>
          <w:rFonts w:asciiTheme="minorHAnsi" w:hAnsiTheme="minorHAnsi" w:cstheme="minorHAnsi"/>
        </w:rPr>
        <w:t xml:space="preserve">There have been several methods of PDC that have been raised in RAN2 </w:t>
      </w:r>
      <w:r>
        <w:rPr>
          <w:rFonts w:asciiTheme="minorHAnsi" w:hAnsiTheme="minorHAnsi" w:cstheme="minorHAnsi"/>
        </w:rPr>
        <w:fldChar w:fldCharType="begin"/>
      </w:r>
      <w:r>
        <w:rPr>
          <w:rFonts w:asciiTheme="minorHAnsi" w:hAnsiTheme="minorHAnsi" w:cstheme="minorHAnsi"/>
        </w:rPr>
        <w:instrText xml:space="preserve"> REF _Ref61524485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xml:space="preserve"> such as:</w:t>
      </w:r>
    </w:p>
    <w:p w14:paraId="3F253658" w14:textId="78F34914" w:rsidR="00F868ED" w:rsidRPr="00F868ED" w:rsidRDefault="00F868ED" w:rsidP="00F868ED">
      <w:pPr>
        <w:pStyle w:val="ListParagraph"/>
        <w:numPr>
          <w:ilvl w:val="0"/>
          <w:numId w:val="22"/>
        </w:numPr>
        <w:rPr>
          <w:rFonts w:asciiTheme="minorHAnsi" w:hAnsiTheme="minorHAnsi" w:cstheme="minorHAnsi"/>
          <w:i/>
        </w:rPr>
      </w:pPr>
      <w:r w:rsidRPr="00F868ED">
        <w:rPr>
          <w:rFonts w:asciiTheme="minorHAnsi" w:hAnsiTheme="minorHAnsi" w:cstheme="minorHAnsi"/>
          <w:i/>
        </w:rPr>
        <w:t>Option 1a: Leave this up to UE implementation and do not specify any enhancements.</w:t>
      </w:r>
    </w:p>
    <w:p w14:paraId="11A29EE5" w14:textId="57B523BD" w:rsidR="00F868ED" w:rsidRPr="00F868ED" w:rsidRDefault="00F868ED" w:rsidP="00F868ED">
      <w:pPr>
        <w:pStyle w:val="ListParagraph"/>
        <w:numPr>
          <w:ilvl w:val="0"/>
          <w:numId w:val="22"/>
        </w:numPr>
        <w:rPr>
          <w:rFonts w:asciiTheme="minorHAnsi" w:hAnsiTheme="minorHAnsi" w:cstheme="minorHAnsi"/>
          <w:i/>
        </w:rPr>
      </w:pPr>
      <w:r w:rsidRPr="00F868ED">
        <w:rPr>
          <w:rFonts w:asciiTheme="minorHAnsi" w:hAnsiTheme="minorHAnsi" w:cstheme="minorHAnsi"/>
          <w:i/>
        </w:rPr>
        <w:t>Option 1b: Leave this up to UE implementation but specify finer granularity of TA command to assist the UE calculation.</w:t>
      </w:r>
    </w:p>
    <w:p w14:paraId="26B67143" w14:textId="4EF3A5E6" w:rsidR="00F868ED" w:rsidRPr="00F868ED" w:rsidRDefault="00F868ED" w:rsidP="00F868ED">
      <w:pPr>
        <w:pStyle w:val="ListParagraph"/>
        <w:numPr>
          <w:ilvl w:val="0"/>
          <w:numId w:val="22"/>
        </w:numPr>
        <w:rPr>
          <w:rFonts w:asciiTheme="minorHAnsi" w:hAnsiTheme="minorHAnsi" w:cstheme="minorHAnsi"/>
          <w:i/>
        </w:rPr>
      </w:pPr>
      <w:r w:rsidRPr="00F868ED">
        <w:rPr>
          <w:rFonts w:asciiTheme="minorHAnsi" w:hAnsiTheme="minorHAnsi" w:cstheme="minorHAnsi"/>
          <w:i/>
        </w:rPr>
        <w:t>Option 2a: Specify in the specifications propagation delay compensation based on TA command (no TA granularity enhancements).</w:t>
      </w:r>
    </w:p>
    <w:p w14:paraId="4023E86A" w14:textId="7AC90A5A" w:rsidR="00F868ED" w:rsidRPr="00F868ED" w:rsidRDefault="00F868ED" w:rsidP="00F868ED">
      <w:pPr>
        <w:pStyle w:val="ListParagraph"/>
        <w:numPr>
          <w:ilvl w:val="0"/>
          <w:numId w:val="22"/>
        </w:numPr>
        <w:rPr>
          <w:rFonts w:asciiTheme="minorHAnsi" w:hAnsiTheme="minorHAnsi" w:cstheme="minorHAnsi"/>
          <w:i/>
        </w:rPr>
      </w:pPr>
      <w:r w:rsidRPr="00F868ED">
        <w:rPr>
          <w:rFonts w:asciiTheme="minorHAnsi" w:hAnsiTheme="minorHAnsi" w:cstheme="minorHAnsi"/>
          <w:i/>
        </w:rPr>
        <w:t>Option 2b: Specify in the specifications propagation delay compensation based on TA command and enhance TA granularity.</w:t>
      </w:r>
    </w:p>
    <w:p w14:paraId="3C97F284" w14:textId="2A7D05CE" w:rsidR="00F868ED" w:rsidRPr="00F868ED" w:rsidRDefault="00F868ED" w:rsidP="00F868ED">
      <w:pPr>
        <w:pStyle w:val="ListParagraph"/>
        <w:numPr>
          <w:ilvl w:val="0"/>
          <w:numId w:val="22"/>
        </w:numPr>
        <w:rPr>
          <w:rFonts w:asciiTheme="minorHAnsi" w:hAnsiTheme="minorHAnsi" w:cstheme="minorHAnsi"/>
          <w:i/>
        </w:rPr>
      </w:pPr>
      <w:r w:rsidRPr="00F868ED">
        <w:rPr>
          <w:rFonts w:asciiTheme="minorHAnsi" w:hAnsiTheme="minorHAnsi" w:cstheme="minorHAnsi"/>
          <w:i/>
        </w:rPr>
        <w:t>Option 3: Perform pre-compensation on the network side (up to network implementation) and add the indication in the network to UE signalling that the time information was pre-compensated.</w:t>
      </w:r>
    </w:p>
    <w:p w14:paraId="25E8791B" w14:textId="5A666CB3" w:rsidR="00F868ED" w:rsidRPr="00F868ED" w:rsidRDefault="00F868ED" w:rsidP="00F868ED">
      <w:pPr>
        <w:pStyle w:val="ListParagraph"/>
        <w:numPr>
          <w:ilvl w:val="0"/>
          <w:numId w:val="22"/>
        </w:numPr>
        <w:rPr>
          <w:rFonts w:asciiTheme="minorHAnsi" w:hAnsiTheme="minorHAnsi" w:cstheme="minorHAnsi"/>
          <w:i/>
        </w:rPr>
      </w:pPr>
      <w:r w:rsidRPr="00F868ED">
        <w:rPr>
          <w:rFonts w:asciiTheme="minorHAnsi" w:hAnsiTheme="minorHAnsi" w:cstheme="minorHAnsi"/>
          <w:i/>
        </w:rPr>
        <w:t>Option 4: reuse some aspects of the positioning framework timing difference measurements for propagation delay compensation</w:t>
      </w:r>
    </w:p>
    <w:p w14:paraId="286EAA4B" w14:textId="2889A620" w:rsidR="00F868ED" w:rsidRDefault="00F868ED" w:rsidP="00E71B99">
      <w:pPr>
        <w:rPr>
          <w:rFonts w:asciiTheme="minorHAnsi" w:hAnsiTheme="minorHAnsi" w:cstheme="minorHAnsi"/>
        </w:rPr>
      </w:pPr>
      <w:r>
        <w:rPr>
          <w:rFonts w:asciiTheme="minorHAnsi" w:hAnsiTheme="minorHAnsi" w:cstheme="minorHAnsi"/>
        </w:rPr>
        <w:t>Following our earlier agreement, the PDC option</w:t>
      </w:r>
      <w:r w:rsidR="00773C40">
        <w:rPr>
          <w:rFonts w:asciiTheme="minorHAnsi" w:hAnsiTheme="minorHAnsi" w:cstheme="minorHAnsi"/>
        </w:rPr>
        <w:t xml:space="preserve"> to be introduced in Rel-17</w:t>
      </w:r>
      <w:r>
        <w:rPr>
          <w:rFonts w:asciiTheme="minorHAnsi" w:hAnsiTheme="minorHAnsi" w:cstheme="minorHAnsi"/>
        </w:rPr>
        <w:t xml:space="preserve"> is expected to be discussed and decided by RAN1 over the next few meetings. </w:t>
      </w:r>
    </w:p>
    <w:p w14:paraId="6675C438" w14:textId="3BFB7515" w:rsidR="00F868ED" w:rsidRDefault="00773C40" w:rsidP="00E71B99">
      <w:pPr>
        <w:rPr>
          <w:rFonts w:asciiTheme="minorHAnsi" w:hAnsiTheme="minorHAnsi" w:cstheme="minorHAnsi"/>
        </w:rPr>
      </w:pPr>
      <w:r>
        <w:rPr>
          <w:rFonts w:asciiTheme="minorHAnsi" w:hAnsiTheme="minorHAnsi" w:cstheme="minorHAnsi"/>
        </w:rPr>
        <w:t>I</w:t>
      </w:r>
      <w:r w:rsidR="00F868ED">
        <w:rPr>
          <w:rFonts w:asciiTheme="minorHAnsi" w:hAnsiTheme="minorHAnsi" w:cstheme="minorHAnsi"/>
        </w:rPr>
        <w:t>n Rel-16,</w:t>
      </w:r>
      <w:r>
        <w:rPr>
          <w:rFonts w:asciiTheme="minorHAnsi" w:hAnsiTheme="minorHAnsi" w:cstheme="minorHAnsi"/>
        </w:rPr>
        <w:t xml:space="preserve"> we had agreed that PDC </w:t>
      </w:r>
      <w:r w:rsidRPr="00773C40">
        <w:rPr>
          <w:rFonts w:asciiTheme="minorHAnsi" w:hAnsiTheme="minorHAnsi" w:cstheme="minorHAnsi"/>
        </w:rPr>
        <w:t>may be done by UE implementation</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_Ref61524691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r>
        <w:rPr>
          <w:rFonts w:asciiTheme="minorHAnsi" w:hAnsiTheme="minorHAnsi" w:cstheme="minorHAnsi"/>
        </w:rPr>
        <w:t xml:space="preserve">. As this was left to implementation, </w:t>
      </w:r>
      <w:r w:rsidR="00A64161">
        <w:rPr>
          <w:rFonts w:asciiTheme="minorHAnsi" w:hAnsiTheme="minorHAnsi" w:cstheme="minorHAnsi"/>
        </w:rPr>
        <w:t>the</w:t>
      </w:r>
      <w:r>
        <w:rPr>
          <w:rFonts w:asciiTheme="minorHAnsi" w:hAnsiTheme="minorHAnsi" w:cstheme="minorHAnsi"/>
        </w:rPr>
        <w:t xml:space="preserve"> agreement had no specification impact. However it is expected that in Rel-17, RAN1 will define some mechanism for PDC. Once this mechanism is agreed upon, it should be obvious that PDC by UE implementation should not take place as it would result in incorrect PDC. Therefore the UE must be aware when PDC</w:t>
      </w:r>
      <w:r w:rsidR="00A64161">
        <w:rPr>
          <w:rFonts w:asciiTheme="minorHAnsi" w:hAnsiTheme="minorHAnsi" w:cstheme="minorHAnsi"/>
        </w:rPr>
        <w:t>,</w:t>
      </w:r>
      <w:r>
        <w:rPr>
          <w:rFonts w:asciiTheme="minorHAnsi" w:hAnsiTheme="minorHAnsi" w:cstheme="minorHAnsi"/>
        </w:rPr>
        <w:t xml:space="preserve"> as defined for Rel-17</w:t>
      </w:r>
      <w:r w:rsidR="00A64161">
        <w:rPr>
          <w:rFonts w:asciiTheme="minorHAnsi" w:hAnsiTheme="minorHAnsi" w:cstheme="minorHAnsi"/>
        </w:rPr>
        <w:t>,</w:t>
      </w:r>
      <w:r>
        <w:rPr>
          <w:rFonts w:asciiTheme="minorHAnsi" w:hAnsiTheme="minorHAnsi" w:cstheme="minorHAnsi"/>
        </w:rPr>
        <w:t xml:space="preserve"> is </w:t>
      </w:r>
      <w:r w:rsidR="00A64161">
        <w:rPr>
          <w:rFonts w:asciiTheme="minorHAnsi" w:hAnsiTheme="minorHAnsi" w:cstheme="minorHAnsi"/>
        </w:rPr>
        <w:t xml:space="preserve">to take </w:t>
      </w:r>
      <w:r>
        <w:rPr>
          <w:rFonts w:asciiTheme="minorHAnsi" w:hAnsiTheme="minorHAnsi" w:cstheme="minorHAnsi"/>
        </w:rPr>
        <w:t>place.</w:t>
      </w:r>
    </w:p>
    <w:p w14:paraId="0D5C1B1A" w14:textId="5B9804FE" w:rsidR="00773C40" w:rsidRDefault="00773C40" w:rsidP="00E71B99">
      <w:pPr>
        <w:rPr>
          <w:rFonts w:asciiTheme="minorHAnsi" w:hAnsiTheme="minorHAnsi" w:cstheme="minorHAnsi"/>
        </w:rPr>
      </w:pPr>
      <w:r>
        <w:rPr>
          <w:rFonts w:asciiTheme="minorHAnsi" w:hAnsiTheme="minorHAnsi" w:cstheme="minorHAnsi"/>
        </w:rPr>
        <w:t xml:space="preserve">As </w:t>
      </w:r>
      <w:r w:rsidR="00480CF2">
        <w:rPr>
          <w:rFonts w:asciiTheme="minorHAnsi" w:hAnsiTheme="minorHAnsi" w:cstheme="minorHAnsi"/>
        </w:rPr>
        <w:t xml:space="preserve">RAN1 have not actually decided on the PDC option to be defined for Rel-17, </w:t>
      </w:r>
      <w:r>
        <w:rPr>
          <w:rFonts w:asciiTheme="minorHAnsi" w:hAnsiTheme="minorHAnsi" w:cstheme="minorHAnsi"/>
        </w:rPr>
        <w:t xml:space="preserve">it is too early to </w:t>
      </w:r>
      <w:r w:rsidR="00480CF2">
        <w:rPr>
          <w:rFonts w:asciiTheme="minorHAnsi" w:hAnsiTheme="minorHAnsi" w:cstheme="minorHAnsi"/>
        </w:rPr>
        <w:t xml:space="preserve">determine </w:t>
      </w:r>
      <w:r>
        <w:rPr>
          <w:rFonts w:asciiTheme="minorHAnsi" w:hAnsiTheme="minorHAnsi" w:cstheme="minorHAnsi"/>
        </w:rPr>
        <w:t xml:space="preserve">the </w:t>
      </w:r>
      <w:r w:rsidR="00A64161">
        <w:rPr>
          <w:rFonts w:asciiTheme="minorHAnsi" w:hAnsiTheme="minorHAnsi" w:cstheme="minorHAnsi"/>
        </w:rPr>
        <w:t>actual signal content as well as its means of transmission</w:t>
      </w:r>
      <w:r>
        <w:rPr>
          <w:rFonts w:asciiTheme="minorHAnsi" w:hAnsiTheme="minorHAnsi" w:cstheme="minorHAnsi"/>
        </w:rPr>
        <w:t xml:space="preserve">. </w:t>
      </w:r>
      <w:r w:rsidR="00480CF2">
        <w:rPr>
          <w:rFonts w:asciiTheme="minorHAnsi" w:hAnsiTheme="minorHAnsi" w:cstheme="minorHAnsi"/>
        </w:rPr>
        <w:t xml:space="preserve">What can be agreeable at this point in time is that there is a need for some form of indication </w:t>
      </w:r>
      <w:r w:rsidR="00480CF2">
        <w:rPr>
          <w:rFonts w:asciiTheme="minorHAnsi" w:hAnsiTheme="minorHAnsi" w:cstheme="minorHAnsi"/>
        </w:rPr>
        <w:lastRenderedPageBreak/>
        <w:t xml:space="preserve">from the NW that PDC is to take place. This indication </w:t>
      </w:r>
      <w:r w:rsidR="00A64161">
        <w:rPr>
          <w:rFonts w:asciiTheme="minorHAnsi" w:hAnsiTheme="minorHAnsi" w:cstheme="minorHAnsi"/>
        </w:rPr>
        <w:t xml:space="preserve">would </w:t>
      </w:r>
      <w:r w:rsidR="00480CF2">
        <w:rPr>
          <w:rFonts w:asciiTheme="minorHAnsi" w:hAnsiTheme="minorHAnsi" w:cstheme="minorHAnsi"/>
        </w:rPr>
        <w:t>prevent the UE from compensating for PDC on its own. Therefore we propose:</w:t>
      </w:r>
    </w:p>
    <w:p w14:paraId="62EA82F4" w14:textId="348EC683" w:rsidR="00480CF2" w:rsidRPr="00876D28" w:rsidRDefault="00480CF2" w:rsidP="00E71B99">
      <w:pPr>
        <w:rPr>
          <w:rFonts w:asciiTheme="minorHAnsi" w:hAnsiTheme="minorHAnsi" w:cstheme="minorHAnsi"/>
          <w:b/>
        </w:rPr>
      </w:pPr>
      <w:r w:rsidRPr="00876D28">
        <w:rPr>
          <w:rFonts w:asciiTheme="minorHAnsi" w:hAnsiTheme="minorHAnsi" w:cstheme="minorHAnsi"/>
          <w:b/>
        </w:rPr>
        <w:t xml:space="preserve">Proposal 1: </w:t>
      </w:r>
      <w:r w:rsidR="00876D28" w:rsidRPr="00876D28">
        <w:rPr>
          <w:rFonts w:asciiTheme="minorHAnsi" w:hAnsiTheme="minorHAnsi" w:cstheme="minorHAnsi"/>
          <w:b/>
        </w:rPr>
        <w:t>The NW indicates to the UE that Rel-17 propagation delay mechanism is being used. The nature and content of this indication will be decided once RAN1 discussions on propagation delay compensation method have progressed further.</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2A501929" w:rsidR="004F4EC9" w:rsidRP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4F4EC9">
        <w:rPr>
          <w:rFonts w:asciiTheme="minorHAnsi" w:hAnsiTheme="minorHAnsi" w:cstheme="minorHAnsi"/>
        </w:rPr>
        <w:t>propose:</w:t>
      </w:r>
    </w:p>
    <w:p w14:paraId="2D5347EE" w14:textId="77777777" w:rsidR="00A64161" w:rsidRPr="00876D28" w:rsidRDefault="00A64161" w:rsidP="00A64161">
      <w:pPr>
        <w:rPr>
          <w:rFonts w:asciiTheme="minorHAnsi" w:hAnsiTheme="minorHAnsi" w:cstheme="minorHAnsi"/>
          <w:b/>
        </w:rPr>
      </w:pPr>
      <w:r w:rsidRPr="00876D28">
        <w:rPr>
          <w:rFonts w:asciiTheme="minorHAnsi" w:hAnsiTheme="minorHAnsi" w:cstheme="minorHAnsi"/>
          <w:b/>
        </w:rPr>
        <w:t>Proposal 1: The NW indicates to the UE that Rel-17 propagation delay mechanism is being used. The nature and content of this indication will be decided once RAN1 discussions on propagation delay compensation method have progressed further.</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BF0F017" w14:textId="3F798F54" w:rsidR="0084512A" w:rsidRDefault="008A43BF" w:rsidP="008A43BF">
      <w:pPr>
        <w:pStyle w:val="ListParagraph"/>
        <w:numPr>
          <w:ilvl w:val="0"/>
          <w:numId w:val="1"/>
        </w:numPr>
        <w:rPr>
          <w:rFonts w:asciiTheme="minorHAnsi" w:hAnsiTheme="minorHAnsi" w:cstheme="minorHAnsi"/>
          <w:color w:val="000000" w:themeColor="text1"/>
        </w:rPr>
      </w:pPr>
      <w:bookmarkStart w:id="3" w:name="_Ref46858437"/>
      <w:r w:rsidRPr="008A43BF">
        <w:rPr>
          <w:rFonts w:asciiTheme="minorHAnsi" w:hAnsiTheme="minorHAnsi" w:cstheme="minorHAnsi"/>
          <w:color w:val="000000" w:themeColor="text1"/>
        </w:rPr>
        <w:t>RP-201310</w:t>
      </w:r>
      <w:r>
        <w:rPr>
          <w:rFonts w:asciiTheme="minorHAnsi" w:hAnsiTheme="minorHAnsi" w:cstheme="minorHAnsi"/>
          <w:color w:val="000000" w:themeColor="text1"/>
        </w:rPr>
        <w:t xml:space="preserve"> </w:t>
      </w:r>
      <w:r w:rsidR="003439B8">
        <w:rPr>
          <w:rFonts w:asciiTheme="minorHAnsi" w:hAnsiTheme="minorHAnsi" w:cstheme="minorHAnsi"/>
          <w:color w:val="000000" w:themeColor="text1"/>
        </w:rPr>
        <w:t xml:space="preserve">- </w:t>
      </w:r>
      <w:r w:rsidRPr="008A43BF">
        <w:rPr>
          <w:rFonts w:asciiTheme="minorHAnsi" w:hAnsiTheme="minorHAnsi" w:cstheme="minorHAnsi"/>
          <w:color w:val="000000" w:themeColor="text1"/>
        </w:rPr>
        <w:t xml:space="preserve">Enhanced Industrial Internet of Things (IoT) and ultra-reliable and low latency communication (URLLC) support for NR </w:t>
      </w:r>
      <w:r w:rsidR="003439B8">
        <w:rPr>
          <w:rFonts w:asciiTheme="minorHAnsi" w:hAnsiTheme="minorHAnsi" w:cstheme="minorHAnsi"/>
          <w:color w:val="000000" w:themeColor="text1"/>
        </w:rPr>
        <w:t>(</w:t>
      </w:r>
      <w:r>
        <w:rPr>
          <w:rFonts w:asciiTheme="minorHAnsi" w:hAnsiTheme="minorHAnsi" w:cstheme="minorHAnsi"/>
          <w:color w:val="000000" w:themeColor="text1"/>
        </w:rPr>
        <w:t>Nokia</w:t>
      </w:r>
      <w:r w:rsidR="003439B8">
        <w:rPr>
          <w:rFonts w:asciiTheme="minorHAnsi" w:hAnsiTheme="minorHAnsi" w:cstheme="minorHAnsi"/>
          <w:color w:val="000000" w:themeColor="text1"/>
        </w:rPr>
        <w:t>)</w:t>
      </w:r>
      <w:bookmarkEnd w:id="3"/>
    </w:p>
    <w:p w14:paraId="0BD1B4AD" w14:textId="77777777" w:rsidR="00F868ED" w:rsidRDefault="00F868ED" w:rsidP="00F868ED">
      <w:pPr>
        <w:pStyle w:val="ListParagraph"/>
        <w:numPr>
          <w:ilvl w:val="0"/>
          <w:numId w:val="1"/>
        </w:numPr>
        <w:rPr>
          <w:rFonts w:asciiTheme="minorHAnsi" w:hAnsiTheme="minorHAnsi" w:cstheme="minorHAnsi"/>
          <w:color w:val="000000" w:themeColor="text1"/>
        </w:rPr>
      </w:pPr>
      <w:bookmarkStart w:id="4" w:name="_Ref61524476"/>
      <w:bookmarkStart w:id="5" w:name="_Ref54088665"/>
      <w:r w:rsidRPr="00F868ED">
        <w:rPr>
          <w:rFonts w:asciiTheme="minorHAnsi" w:hAnsiTheme="minorHAnsi" w:cstheme="minorHAnsi"/>
          <w:color w:val="000000" w:themeColor="text1"/>
        </w:rPr>
        <w:t xml:space="preserve">R2-2100001 </w:t>
      </w:r>
      <w:r>
        <w:rPr>
          <w:rFonts w:asciiTheme="minorHAnsi" w:hAnsiTheme="minorHAnsi" w:cstheme="minorHAnsi"/>
          <w:color w:val="000000" w:themeColor="text1"/>
        </w:rPr>
        <w:t xml:space="preserve">- </w:t>
      </w:r>
      <w:r w:rsidRPr="00F868ED">
        <w:rPr>
          <w:rFonts w:asciiTheme="minorHAnsi" w:hAnsiTheme="minorHAnsi" w:cstheme="minorHAnsi"/>
          <w:color w:val="000000" w:themeColor="text1"/>
        </w:rPr>
        <w:t xml:space="preserve">RAN2#112-e Meeting Report </w:t>
      </w:r>
      <w:r>
        <w:rPr>
          <w:rFonts w:asciiTheme="minorHAnsi" w:hAnsiTheme="minorHAnsi" w:cstheme="minorHAnsi"/>
          <w:color w:val="000000" w:themeColor="text1"/>
        </w:rPr>
        <w:t>(MCC)</w:t>
      </w:r>
      <w:bookmarkEnd w:id="4"/>
    </w:p>
    <w:p w14:paraId="4325E46F" w14:textId="3351943F" w:rsidR="00F868ED" w:rsidRDefault="00F868ED" w:rsidP="00F868ED">
      <w:pPr>
        <w:pStyle w:val="ListParagraph"/>
        <w:numPr>
          <w:ilvl w:val="0"/>
          <w:numId w:val="1"/>
        </w:numPr>
        <w:rPr>
          <w:rFonts w:asciiTheme="minorHAnsi" w:hAnsiTheme="minorHAnsi" w:cstheme="minorHAnsi"/>
          <w:color w:val="000000" w:themeColor="text1"/>
        </w:rPr>
      </w:pPr>
      <w:bookmarkStart w:id="6" w:name="_Ref61524485"/>
      <w:r w:rsidRPr="00F868ED">
        <w:rPr>
          <w:rFonts w:asciiTheme="minorHAnsi" w:hAnsiTheme="minorHAnsi" w:cstheme="minorHAnsi"/>
          <w:color w:val="000000" w:themeColor="text1"/>
        </w:rPr>
        <w:t>R2-2009755</w:t>
      </w:r>
      <w:r>
        <w:rPr>
          <w:rFonts w:asciiTheme="minorHAnsi" w:hAnsiTheme="minorHAnsi" w:cstheme="minorHAnsi"/>
          <w:color w:val="000000" w:themeColor="text1"/>
        </w:rPr>
        <w:t xml:space="preserve"> - </w:t>
      </w:r>
      <w:r w:rsidRPr="00F868ED">
        <w:rPr>
          <w:rFonts w:asciiTheme="minorHAnsi" w:hAnsiTheme="minorHAnsi" w:cstheme="minorHAnsi"/>
          <w:color w:val="000000" w:themeColor="text1"/>
        </w:rPr>
        <w:t>Summary of email discussion [Post111-e][924][R17 URLLC/IIoT] Propagation delay for TSN (Nokia)</w:t>
      </w:r>
      <w:bookmarkEnd w:id="6"/>
    </w:p>
    <w:p w14:paraId="4EBB0C51" w14:textId="2F9434D4" w:rsidR="00773C40" w:rsidRDefault="00773C40" w:rsidP="00773C40">
      <w:pPr>
        <w:pStyle w:val="ListParagraph"/>
        <w:numPr>
          <w:ilvl w:val="0"/>
          <w:numId w:val="1"/>
        </w:numPr>
        <w:rPr>
          <w:rFonts w:asciiTheme="minorHAnsi" w:hAnsiTheme="minorHAnsi" w:cstheme="minorHAnsi"/>
          <w:color w:val="000000" w:themeColor="text1"/>
        </w:rPr>
      </w:pPr>
      <w:bookmarkStart w:id="7" w:name="_Ref61524691"/>
      <w:r w:rsidRPr="00773C40">
        <w:rPr>
          <w:rFonts w:asciiTheme="minorHAnsi" w:hAnsiTheme="minorHAnsi" w:cstheme="minorHAnsi"/>
          <w:color w:val="000000" w:themeColor="text1"/>
        </w:rPr>
        <w:t>R2-2002501</w:t>
      </w:r>
      <w:r>
        <w:rPr>
          <w:rFonts w:asciiTheme="minorHAnsi" w:hAnsiTheme="minorHAnsi" w:cstheme="minorHAnsi"/>
          <w:color w:val="000000" w:themeColor="text1"/>
        </w:rPr>
        <w:t xml:space="preserve"> - </w:t>
      </w:r>
      <w:r w:rsidRPr="00773C40">
        <w:rPr>
          <w:rFonts w:asciiTheme="minorHAnsi" w:hAnsiTheme="minorHAnsi" w:cstheme="minorHAnsi"/>
          <w:color w:val="000000" w:themeColor="text1"/>
        </w:rPr>
        <w:t>Report of 3GPP TSG RAN WG2 meeting #109-e</w:t>
      </w:r>
      <w:r>
        <w:rPr>
          <w:rFonts w:asciiTheme="minorHAnsi" w:hAnsiTheme="minorHAnsi" w:cstheme="minorHAnsi"/>
          <w:color w:val="000000" w:themeColor="text1"/>
        </w:rPr>
        <w:t xml:space="preserve"> (MCC)</w:t>
      </w:r>
      <w:bookmarkEnd w:id="5"/>
      <w:bookmarkEnd w:id="7"/>
    </w:p>
    <w:sectPr w:rsidR="00773C40"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9A70B" w14:textId="77777777" w:rsidR="008E3A50" w:rsidRDefault="008E3A50" w:rsidP="00BD754F">
      <w:pPr>
        <w:spacing w:after="0"/>
      </w:pPr>
      <w:r>
        <w:separator/>
      </w:r>
    </w:p>
  </w:endnote>
  <w:endnote w:type="continuationSeparator" w:id="0">
    <w:p w14:paraId="36A8E1F0" w14:textId="77777777" w:rsidR="008E3A50" w:rsidRDefault="008E3A50"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26B77" w14:textId="77777777" w:rsidR="008E3A50" w:rsidRDefault="008E3A50" w:rsidP="00BD754F">
      <w:pPr>
        <w:spacing w:after="0"/>
      </w:pPr>
      <w:r>
        <w:separator/>
      </w:r>
    </w:p>
  </w:footnote>
  <w:footnote w:type="continuationSeparator" w:id="0">
    <w:p w14:paraId="339F0CC3" w14:textId="77777777" w:rsidR="008E3A50" w:rsidRDefault="008E3A50"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1C6512"/>
    <w:multiLevelType w:val="hybridMultilevel"/>
    <w:tmpl w:val="861693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32E1FF3"/>
    <w:multiLevelType w:val="hybridMultilevel"/>
    <w:tmpl w:val="58D41D12"/>
    <w:lvl w:ilvl="0" w:tplc="C52833B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E607D6"/>
    <w:multiLevelType w:val="hybridMultilevel"/>
    <w:tmpl w:val="B342A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0"/>
  </w:num>
  <w:num w:numId="3">
    <w:abstractNumId w:val="1"/>
  </w:num>
  <w:num w:numId="4">
    <w:abstractNumId w:val="11"/>
  </w:num>
  <w:num w:numId="5">
    <w:abstractNumId w:val="0"/>
  </w:num>
  <w:num w:numId="6">
    <w:abstractNumId w:val="5"/>
  </w:num>
  <w:num w:numId="7">
    <w:abstractNumId w:val="10"/>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13"/>
  </w:num>
  <w:num w:numId="12">
    <w:abstractNumId w:val="7"/>
  </w:num>
  <w:num w:numId="13">
    <w:abstractNumId w:val="15"/>
  </w:num>
  <w:num w:numId="14">
    <w:abstractNumId w:val="3"/>
  </w:num>
  <w:num w:numId="15">
    <w:abstractNumId w:val="4"/>
  </w:num>
  <w:num w:numId="16">
    <w:abstractNumId w:val="2"/>
  </w:num>
  <w:num w:numId="17">
    <w:abstractNumId w:val="12"/>
  </w:num>
  <w:num w:numId="18">
    <w:abstractNumId w:val="18"/>
  </w:num>
  <w:num w:numId="19">
    <w:abstractNumId w:val="21"/>
  </w:num>
  <w:num w:numId="20">
    <w:abstractNumId w:val="8"/>
  </w:num>
  <w:num w:numId="21">
    <w:abstractNumId w:val="19"/>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194F"/>
    <w:rsid w:val="000130A0"/>
    <w:rsid w:val="00014232"/>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B3E45"/>
    <w:rsid w:val="000B5126"/>
    <w:rsid w:val="000B5903"/>
    <w:rsid w:val="000D48A1"/>
    <w:rsid w:val="000D7E95"/>
    <w:rsid w:val="000F04A7"/>
    <w:rsid w:val="00103163"/>
    <w:rsid w:val="001054B0"/>
    <w:rsid w:val="0011454C"/>
    <w:rsid w:val="00122858"/>
    <w:rsid w:val="00122B18"/>
    <w:rsid w:val="001442CE"/>
    <w:rsid w:val="00147CBE"/>
    <w:rsid w:val="00150AD6"/>
    <w:rsid w:val="00152379"/>
    <w:rsid w:val="001551CE"/>
    <w:rsid w:val="001648D7"/>
    <w:rsid w:val="00171F69"/>
    <w:rsid w:val="001727E1"/>
    <w:rsid w:val="0017542E"/>
    <w:rsid w:val="00177ECA"/>
    <w:rsid w:val="001802B7"/>
    <w:rsid w:val="001975BE"/>
    <w:rsid w:val="00197C6A"/>
    <w:rsid w:val="001A381D"/>
    <w:rsid w:val="001A4311"/>
    <w:rsid w:val="001A762C"/>
    <w:rsid w:val="001B4B48"/>
    <w:rsid w:val="001B726B"/>
    <w:rsid w:val="001C112D"/>
    <w:rsid w:val="001C3DB6"/>
    <w:rsid w:val="001C7509"/>
    <w:rsid w:val="001D0B12"/>
    <w:rsid w:val="001D3B2A"/>
    <w:rsid w:val="001D5642"/>
    <w:rsid w:val="001D578A"/>
    <w:rsid w:val="001D7B03"/>
    <w:rsid w:val="001F064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405D1"/>
    <w:rsid w:val="002412BD"/>
    <w:rsid w:val="002435FA"/>
    <w:rsid w:val="00243644"/>
    <w:rsid w:val="00243CD0"/>
    <w:rsid w:val="00246E6A"/>
    <w:rsid w:val="0025073B"/>
    <w:rsid w:val="00263F04"/>
    <w:rsid w:val="00265008"/>
    <w:rsid w:val="00267FBD"/>
    <w:rsid w:val="00277CDC"/>
    <w:rsid w:val="00284610"/>
    <w:rsid w:val="00287735"/>
    <w:rsid w:val="00290DB4"/>
    <w:rsid w:val="00291158"/>
    <w:rsid w:val="002A03AA"/>
    <w:rsid w:val="002A0463"/>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240A"/>
    <w:rsid w:val="0030361D"/>
    <w:rsid w:val="00303A9A"/>
    <w:rsid w:val="0031110D"/>
    <w:rsid w:val="00313713"/>
    <w:rsid w:val="00313F22"/>
    <w:rsid w:val="0031592E"/>
    <w:rsid w:val="0031695B"/>
    <w:rsid w:val="0032159D"/>
    <w:rsid w:val="0032329F"/>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14"/>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63BF"/>
    <w:rsid w:val="00426430"/>
    <w:rsid w:val="00431D67"/>
    <w:rsid w:val="004328F9"/>
    <w:rsid w:val="0043592D"/>
    <w:rsid w:val="00436FF1"/>
    <w:rsid w:val="00442F57"/>
    <w:rsid w:val="00443F0A"/>
    <w:rsid w:val="004455D9"/>
    <w:rsid w:val="00445CB0"/>
    <w:rsid w:val="00450560"/>
    <w:rsid w:val="0045068E"/>
    <w:rsid w:val="0045498B"/>
    <w:rsid w:val="00461D52"/>
    <w:rsid w:val="00463A80"/>
    <w:rsid w:val="0046569E"/>
    <w:rsid w:val="00466CBF"/>
    <w:rsid w:val="00472CCA"/>
    <w:rsid w:val="0047408E"/>
    <w:rsid w:val="00474DCE"/>
    <w:rsid w:val="00480CF2"/>
    <w:rsid w:val="004854D7"/>
    <w:rsid w:val="00487430"/>
    <w:rsid w:val="00495E65"/>
    <w:rsid w:val="004A009E"/>
    <w:rsid w:val="004A1101"/>
    <w:rsid w:val="004A2AF7"/>
    <w:rsid w:val="004B1A1C"/>
    <w:rsid w:val="004B1C99"/>
    <w:rsid w:val="004B2063"/>
    <w:rsid w:val="004B2F85"/>
    <w:rsid w:val="004B4396"/>
    <w:rsid w:val="004B663A"/>
    <w:rsid w:val="004C1256"/>
    <w:rsid w:val="004C3798"/>
    <w:rsid w:val="004C6927"/>
    <w:rsid w:val="004C7B1D"/>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1AD"/>
    <w:rsid w:val="005258BC"/>
    <w:rsid w:val="0053273E"/>
    <w:rsid w:val="00534A4C"/>
    <w:rsid w:val="005409E8"/>
    <w:rsid w:val="005428C2"/>
    <w:rsid w:val="005510BD"/>
    <w:rsid w:val="00551885"/>
    <w:rsid w:val="00555187"/>
    <w:rsid w:val="005579AF"/>
    <w:rsid w:val="00562B47"/>
    <w:rsid w:val="0056433B"/>
    <w:rsid w:val="00573FA4"/>
    <w:rsid w:val="00580A44"/>
    <w:rsid w:val="00580CBE"/>
    <w:rsid w:val="005865AA"/>
    <w:rsid w:val="00587ADE"/>
    <w:rsid w:val="0059047A"/>
    <w:rsid w:val="005941F7"/>
    <w:rsid w:val="00597DAB"/>
    <w:rsid w:val="005A07DA"/>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26DC"/>
    <w:rsid w:val="006057BD"/>
    <w:rsid w:val="00606104"/>
    <w:rsid w:val="00611832"/>
    <w:rsid w:val="00622BBC"/>
    <w:rsid w:val="00624142"/>
    <w:rsid w:val="00625D29"/>
    <w:rsid w:val="00627588"/>
    <w:rsid w:val="00633DE1"/>
    <w:rsid w:val="00634671"/>
    <w:rsid w:val="00635AF3"/>
    <w:rsid w:val="00637855"/>
    <w:rsid w:val="006408DA"/>
    <w:rsid w:val="00640F44"/>
    <w:rsid w:val="00642D8D"/>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779E"/>
    <w:rsid w:val="006D4046"/>
    <w:rsid w:val="006D539E"/>
    <w:rsid w:val="006D712A"/>
    <w:rsid w:val="006E17DD"/>
    <w:rsid w:val="006E6BF2"/>
    <w:rsid w:val="006E6C20"/>
    <w:rsid w:val="006F0BD6"/>
    <w:rsid w:val="006F40E9"/>
    <w:rsid w:val="006F447A"/>
    <w:rsid w:val="006F7CB7"/>
    <w:rsid w:val="00700F9C"/>
    <w:rsid w:val="0070524B"/>
    <w:rsid w:val="00705CB9"/>
    <w:rsid w:val="00707E70"/>
    <w:rsid w:val="00710374"/>
    <w:rsid w:val="00712104"/>
    <w:rsid w:val="00714CF2"/>
    <w:rsid w:val="00720513"/>
    <w:rsid w:val="007215CF"/>
    <w:rsid w:val="00723122"/>
    <w:rsid w:val="00731848"/>
    <w:rsid w:val="007405E1"/>
    <w:rsid w:val="00741090"/>
    <w:rsid w:val="00743A83"/>
    <w:rsid w:val="00743C33"/>
    <w:rsid w:val="00744BF1"/>
    <w:rsid w:val="007460C5"/>
    <w:rsid w:val="00753587"/>
    <w:rsid w:val="00756132"/>
    <w:rsid w:val="00761820"/>
    <w:rsid w:val="007674AD"/>
    <w:rsid w:val="00767657"/>
    <w:rsid w:val="0077005B"/>
    <w:rsid w:val="007707D0"/>
    <w:rsid w:val="00770CB5"/>
    <w:rsid w:val="00773C40"/>
    <w:rsid w:val="00780ADA"/>
    <w:rsid w:val="00780B1D"/>
    <w:rsid w:val="00785128"/>
    <w:rsid w:val="00785F15"/>
    <w:rsid w:val="00786784"/>
    <w:rsid w:val="00791095"/>
    <w:rsid w:val="00793597"/>
    <w:rsid w:val="00795359"/>
    <w:rsid w:val="00797C85"/>
    <w:rsid w:val="00797F3F"/>
    <w:rsid w:val="007A408C"/>
    <w:rsid w:val="007A4395"/>
    <w:rsid w:val="007A5F86"/>
    <w:rsid w:val="007A7041"/>
    <w:rsid w:val="007A7A36"/>
    <w:rsid w:val="007B0DBA"/>
    <w:rsid w:val="007B3807"/>
    <w:rsid w:val="007B4747"/>
    <w:rsid w:val="007C0086"/>
    <w:rsid w:val="007C3C07"/>
    <w:rsid w:val="007D3BE0"/>
    <w:rsid w:val="007D5FF8"/>
    <w:rsid w:val="007E083C"/>
    <w:rsid w:val="007E14F8"/>
    <w:rsid w:val="007E2D15"/>
    <w:rsid w:val="007E3849"/>
    <w:rsid w:val="007E6611"/>
    <w:rsid w:val="007E6B32"/>
    <w:rsid w:val="007E6EE0"/>
    <w:rsid w:val="007F2F9C"/>
    <w:rsid w:val="007F4BDC"/>
    <w:rsid w:val="007F4FEF"/>
    <w:rsid w:val="00806288"/>
    <w:rsid w:val="00814FC8"/>
    <w:rsid w:val="00815A39"/>
    <w:rsid w:val="00822A42"/>
    <w:rsid w:val="00824272"/>
    <w:rsid w:val="00827FB9"/>
    <w:rsid w:val="008308A4"/>
    <w:rsid w:val="00833D3C"/>
    <w:rsid w:val="0083702A"/>
    <w:rsid w:val="00837869"/>
    <w:rsid w:val="00843848"/>
    <w:rsid w:val="0084512A"/>
    <w:rsid w:val="00846665"/>
    <w:rsid w:val="00846A0F"/>
    <w:rsid w:val="00861F44"/>
    <w:rsid w:val="00863468"/>
    <w:rsid w:val="008656BD"/>
    <w:rsid w:val="0086781B"/>
    <w:rsid w:val="008721AA"/>
    <w:rsid w:val="00873658"/>
    <w:rsid w:val="008744A0"/>
    <w:rsid w:val="00876D28"/>
    <w:rsid w:val="0087752B"/>
    <w:rsid w:val="008809BE"/>
    <w:rsid w:val="00880A53"/>
    <w:rsid w:val="00883035"/>
    <w:rsid w:val="00887071"/>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E1B4E"/>
    <w:rsid w:val="008E3A50"/>
    <w:rsid w:val="008E7AB0"/>
    <w:rsid w:val="008E7B6C"/>
    <w:rsid w:val="008F0B63"/>
    <w:rsid w:val="008F7516"/>
    <w:rsid w:val="009027C4"/>
    <w:rsid w:val="009032E2"/>
    <w:rsid w:val="00903757"/>
    <w:rsid w:val="00906F4E"/>
    <w:rsid w:val="0090759B"/>
    <w:rsid w:val="009120D5"/>
    <w:rsid w:val="00913BA0"/>
    <w:rsid w:val="009166A1"/>
    <w:rsid w:val="00921B5C"/>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75AB6"/>
    <w:rsid w:val="00981953"/>
    <w:rsid w:val="009872D2"/>
    <w:rsid w:val="009913EE"/>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9F62C8"/>
    <w:rsid w:val="00A145F9"/>
    <w:rsid w:val="00A15049"/>
    <w:rsid w:val="00A17BC7"/>
    <w:rsid w:val="00A2283B"/>
    <w:rsid w:val="00A24B3F"/>
    <w:rsid w:val="00A26E48"/>
    <w:rsid w:val="00A37075"/>
    <w:rsid w:val="00A37C30"/>
    <w:rsid w:val="00A46F7B"/>
    <w:rsid w:val="00A50093"/>
    <w:rsid w:val="00A53444"/>
    <w:rsid w:val="00A601D6"/>
    <w:rsid w:val="00A627A4"/>
    <w:rsid w:val="00A64161"/>
    <w:rsid w:val="00A7072E"/>
    <w:rsid w:val="00A81B2A"/>
    <w:rsid w:val="00A91294"/>
    <w:rsid w:val="00A9229A"/>
    <w:rsid w:val="00A96547"/>
    <w:rsid w:val="00AA1CFE"/>
    <w:rsid w:val="00AB268E"/>
    <w:rsid w:val="00AB4311"/>
    <w:rsid w:val="00AB52E9"/>
    <w:rsid w:val="00AC1004"/>
    <w:rsid w:val="00AD083C"/>
    <w:rsid w:val="00AD0B88"/>
    <w:rsid w:val="00AD1C87"/>
    <w:rsid w:val="00AD4053"/>
    <w:rsid w:val="00AD5C70"/>
    <w:rsid w:val="00AD67D9"/>
    <w:rsid w:val="00AE0A95"/>
    <w:rsid w:val="00AE14B7"/>
    <w:rsid w:val="00AE3E59"/>
    <w:rsid w:val="00AE3FAE"/>
    <w:rsid w:val="00AE650E"/>
    <w:rsid w:val="00AE6E03"/>
    <w:rsid w:val="00AE7D1B"/>
    <w:rsid w:val="00AF193E"/>
    <w:rsid w:val="00AF2C6D"/>
    <w:rsid w:val="00AF3130"/>
    <w:rsid w:val="00AF5FB7"/>
    <w:rsid w:val="00AF61A8"/>
    <w:rsid w:val="00B0170E"/>
    <w:rsid w:val="00B03D80"/>
    <w:rsid w:val="00B0660E"/>
    <w:rsid w:val="00B07253"/>
    <w:rsid w:val="00B156AB"/>
    <w:rsid w:val="00B17527"/>
    <w:rsid w:val="00B2281C"/>
    <w:rsid w:val="00B33AF8"/>
    <w:rsid w:val="00B33F24"/>
    <w:rsid w:val="00B37B29"/>
    <w:rsid w:val="00B402E5"/>
    <w:rsid w:val="00B42EC5"/>
    <w:rsid w:val="00B43419"/>
    <w:rsid w:val="00B43550"/>
    <w:rsid w:val="00B43FED"/>
    <w:rsid w:val="00B44CF2"/>
    <w:rsid w:val="00B47679"/>
    <w:rsid w:val="00B47AFE"/>
    <w:rsid w:val="00B47CC1"/>
    <w:rsid w:val="00B52F0A"/>
    <w:rsid w:val="00B53EEF"/>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C5E12"/>
    <w:rsid w:val="00BC6CF9"/>
    <w:rsid w:val="00BD0735"/>
    <w:rsid w:val="00BD4324"/>
    <w:rsid w:val="00BD47DB"/>
    <w:rsid w:val="00BD754F"/>
    <w:rsid w:val="00BD7BF2"/>
    <w:rsid w:val="00BE175A"/>
    <w:rsid w:val="00BE36D1"/>
    <w:rsid w:val="00BE5DBC"/>
    <w:rsid w:val="00BE7E4F"/>
    <w:rsid w:val="00BF1317"/>
    <w:rsid w:val="00BF2175"/>
    <w:rsid w:val="00BF3F13"/>
    <w:rsid w:val="00C01DC2"/>
    <w:rsid w:val="00C05723"/>
    <w:rsid w:val="00C0588C"/>
    <w:rsid w:val="00C07CDC"/>
    <w:rsid w:val="00C10449"/>
    <w:rsid w:val="00C1177C"/>
    <w:rsid w:val="00C117F2"/>
    <w:rsid w:val="00C1340E"/>
    <w:rsid w:val="00C174DC"/>
    <w:rsid w:val="00C1762E"/>
    <w:rsid w:val="00C25697"/>
    <w:rsid w:val="00C2779B"/>
    <w:rsid w:val="00C34C5F"/>
    <w:rsid w:val="00C368EF"/>
    <w:rsid w:val="00C40CF0"/>
    <w:rsid w:val="00C42233"/>
    <w:rsid w:val="00C45966"/>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D0516"/>
    <w:rsid w:val="00CD0A51"/>
    <w:rsid w:val="00CD137E"/>
    <w:rsid w:val="00CD750B"/>
    <w:rsid w:val="00CE0ED6"/>
    <w:rsid w:val="00CE29BA"/>
    <w:rsid w:val="00CF1543"/>
    <w:rsid w:val="00CF18F0"/>
    <w:rsid w:val="00CF2F9D"/>
    <w:rsid w:val="00CF6350"/>
    <w:rsid w:val="00D137C2"/>
    <w:rsid w:val="00D16822"/>
    <w:rsid w:val="00D22B5A"/>
    <w:rsid w:val="00D25729"/>
    <w:rsid w:val="00D30BBD"/>
    <w:rsid w:val="00D31427"/>
    <w:rsid w:val="00D31CEE"/>
    <w:rsid w:val="00D31E8D"/>
    <w:rsid w:val="00D3239A"/>
    <w:rsid w:val="00D33462"/>
    <w:rsid w:val="00D33585"/>
    <w:rsid w:val="00D367C2"/>
    <w:rsid w:val="00D4229D"/>
    <w:rsid w:val="00D441D8"/>
    <w:rsid w:val="00D46F60"/>
    <w:rsid w:val="00D47317"/>
    <w:rsid w:val="00D5151D"/>
    <w:rsid w:val="00D52A0A"/>
    <w:rsid w:val="00D53E3D"/>
    <w:rsid w:val="00D616B1"/>
    <w:rsid w:val="00D62E50"/>
    <w:rsid w:val="00D637B3"/>
    <w:rsid w:val="00D643B5"/>
    <w:rsid w:val="00D72A99"/>
    <w:rsid w:val="00D7438E"/>
    <w:rsid w:val="00D76DB5"/>
    <w:rsid w:val="00D7782D"/>
    <w:rsid w:val="00D825E4"/>
    <w:rsid w:val="00D962E3"/>
    <w:rsid w:val="00D96888"/>
    <w:rsid w:val="00DA68F4"/>
    <w:rsid w:val="00DA7BF7"/>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7E8A"/>
    <w:rsid w:val="00E27B9C"/>
    <w:rsid w:val="00E339E4"/>
    <w:rsid w:val="00E357E9"/>
    <w:rsid w:val="00E40E49"/>
    <w:rsid w:val="00E41402"/>
    <w:rsid w:val="00E41597"/>
    <w:rsid w:val="00E46FA6"/>
    <w:rsid w:val="00E47109"/>
    <w:rsid w:val="00E50183"/>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66F1"/>
    <w:rsid w:val="00EA1F40"/>
    <w:rsid w:val="00EA5996"/>
    <w:rsid w:val="00EB391F"/>
    <w:rsid w:val="00EB46FE"/>
    <w:rsid w:val="00EB7F09"/>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074F9"/>
    <w:rsid w:val="00F1022B"/>
    <w:rsid w:val="00F14A01"/>
    <w:rsid w:val="00F16091"/>
    <w:rsid w:val="00F1645D"/>
    <w:rsid w:val="00F173C0"/>
    <w:rsid w:val="00F340AF"/>
    <w:rsid w:val="00F345BF"/>
    <w:rsid w:val="00F426A6"/>
    <w:rsid w:val="00F44F74"/>
    <w:rsid w:val="00F51FD5"/>
    <w:rsid w:val="00F61B3B"/>
    <w:rsid w:val="00F71FA7"/>
    <w:rsid w:val="00F8665F"/>
    <w:rsid w:val="00F868ED"/>
    <w:rsid w:val="00F90434"/>
    <w:rsid w:val="00F915E0"/>
    <w:rsid w:val="00F94EAB"/>
    <w:rsid w:val="00F970BB"/>
    <w:rsid w:val="00F9791A"/>
    <w:rsid w:val="00FA6F39"/>
    <w:rsid w:val="00FB2096"/>
    <w:rsid w:val="00FC1714"/>
    <w:rsid w:val="00FC3B6B"/>
    <w:rsid w:val="00FC6B21"/>
    <w:rsid w:val="00FD091F"/>
    <w:rsid w:val="00FD3543"/>
    <w:rsid w:val="00FD3B56"/>
    <w:rsid w:val="00FD45D7"/>
    <w:rsid w:val="00FD5E4B"/>
    <w:rsid w:val="00FE18EE"/>
    <w:rsid w:val="00FE31C8"/>
    <w:rsid w:val="00FE6334"/>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6B17B-F466-4F32-A272-263AF2246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2020-10-21T10:57:00Z</dcterms:created>
  <dcterms:modified xsi:type="dcterms:W3CDTF">2021-01-14T17:32:00Z</dcterms:modified>
</cp:coreProperties>
</file>